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582" w:rsidRDefault="00CE3EB2">
      <w:pPr>
        <w:pStyle w:val="ConsPlusTitle"/>
        <w:jc w:val="center"/>
        <w:outlineLvl w:val="0"/>
      </w:pPr>
      <w:bookmarkStart w:id="0" w:name="_GoBack"/>
      <w:bookmarkEnd w:id="0"/>
      <w:r>
        <w:t>ПРАВИТЕЛЬСТВО МУРМАНСКОЙ ОБЛАСТИ</w:t>
      </w:r>
    </w:p>
    <w:p w:rsidR="00684582" w:rsidRDefault="00684582">
      <w:pPr>
        <w:pStyle w:val="ConsPlusTitle"/>
        <w:jc w:val="both"/>
      </w:pPr>
    </w:p>
    <w:p w:rsidR="00684582" w:rsidRDefault="00CE3EB2">
      <w:pPr>
        <w:pStyle w:val="ConsPlusTitle"/>
        <w:jc w:val="center"/>
      </w:pPr>
      <w:r>
        <w:t>ПОСТАНОВЛЕНИЕ</w:t>
      </w:r>
    </w:p>
    <w:p w:rsidR="00684582" w:rsidRDefault="00CE3EB2">
      <w:pPr>
        <w:pStyle w:val="ConsPlusTitle"/>
        <w:jc w:val="center"/>
      </w:pPr>
      <w:r>
        <w:t>от 28 декабря 2024 г. N 984-ПП</w:t>
      </w:r>
    </w:p>
    <w:p w:rsidR="00684582" w:rsidRDefault="00684582">
      <w:pPr>
        <w:pStyle w:val="ConsPlusTitle"/>
        <w:jc w:val="both"/>
      </w:pPr>
    </w:p>
    <w:p w:rsidR="00684582" w:rsidRDefault="00CE3EB2">
      <w:pPr>
        <w:pStyle w:val="ConsPlusTitle"/>
        <w:jc w:val="center"/>
      </w:pPr>
      <w:r>
        <w:t>ОБ УТВЕРЖДЕНИИ ПРАВИЛ ПРЕДОСТАВЛЕНИЯ И РАСПРЕДЕЛЕНИЯ ИНЫХ</w:t>
      </w:r>
    </w:p>
    <w:p w:rsidR="00684582" w:rsidRDefault="00CE3EB2">
      <w:pPr>
        <w:pStyle w:val="ConsPlusTitle"/>
        <w:jc w:val="center"/>
      </w:pPr>
      <w:r>
        <w:t>МЕЖБЮДЖЕТНЫХ ТРАНСФЕРТОВ ИЗ ОБЛАСТНОГО БЮДЖЕТА МЕСТНЫМ</w:t>
      </w:r>
    </w:p>
    <w:p w:rsidR="00684582" w:rsidRDefault="00CE3EB2">
      <w:pPr>
        <w:pStyle w:val="ConsPlusTitle"/>
        <w:jc w:val="center"/>
      </w:pPr>
      <w:r>
        <w:t>БЮДЖЕТАМ В ЦЕЛЯХ ПООЩРЕНИЯ МУНИЦИПАЛЬНЫХ УПРАВЛЕНЧЕСКИХ</w:t>
      </w:r>
    </w:p>
    <w:p w:rsidR="00684582" w:rsidRDefault="00CE3EB2">
      <w:pPr>
        <w:pStyle w:val="ConsPlusTitle"/>
        <w:jc w:val="center"/>
      </w:pPr>
      <w:r>
        <w:t>КОМАНД</w:t>
      </w:r>
    </w:p>
    <w:p w:rsidR="00684582" w:rsidRDefault="00684582">
      <w:pPr>
        <w:pStyle w:val="ConsPlusNormal"/>
        <w:jc w:val="both"/>
      </w:pPr>
    </w:p>
    <w:p w:rsidR="00684582" w:rsidRDefault="00CE3EB2">
      <w:pPr>
        <w:pStyle w:val="ConsPlusNormal"/>
        <w:ind w:firstLine="540"/>
        <w:jc w:val="both"/>
      </w:pPr>
      <w:r>
        <w:t>В соответствии со статьей 139.1 Бюджетного кодекса Российской Федерации, статьей 15 Закона Мурманской области от 10.12.2007 N 916-01-ЗМО "О межбюджетных отношениях в Мурманской области" Правительство Мурманской области постановляет: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утвердить прилагаемые</w:t>
      </w:r>
      <w:r>
        <w:t xml:space="preserve"> </w:t>
      </w:r>
      <w:hyperlink w:anchor="P26" w:tooltip="ПРАВИЛА">
        <w:r>
          <w:rPr>
            <w:color w:val="0000FF"/>
          </w:rPr>
          <w:t>Правила</w:t>
        </w:r>
      </w:hyperlink>
      <w:r>
        <w:t xml:space="preserve"> предоставления и распределения иных межбюджетных трансфертов из областного бюджета местным бюджетам в целях поощрения муниципальных управленческих команд.</w:t>
      </w:r>
    </w:p>
    <w:p w:rsidR="00684582" w:rsidRDefault="00684582">
      <w:pPr>
        <w:pStyle w:val="ConsPlusNormal"/>
        <w:jc w:val="both"/>
      </w:pPr>
    </w:p>
    <w:p w:rsidR="00684582" w:rsidRDefault="00CE3EB2">
      <w:pPr>
        <w:pStyle w:val="ConsPlusNormal"/>
        <w:jc w:val="right"/>
      </w:pPr>
      <w:r>
        <w:t>Губернатор</w:t>
      </w:r>
    </w:p>
    <w:p w:rsidR="00684582" w:rsidRDefault="00CE3EB2">
      <w:pPr>
        <w:pStyle w:val="ConsPlusNormal"/>
        <w:jc w:val="right"/>
      </w:pPr>
      <w:r>
        <w:t>Мурманской области</w:t>
      </w:r>
    </w:p>
    <w:p w:rsidR="00684582" w:rsidRDefault="00CE3EB2">
      <w:pPr>
        <w:pStyle w:val="ConsPlusNormal"/>
        <w:jc w:val="right"/>
      </w:pPr>
      <w:r>
        <w:t>А.В.ЧИБИС</w:t>
      </w:r>
    </w:p>
    <w:p w:rsidR="00684582" w:rsidRDefault="00684582">
      <w:pPr>
        <w:pStyle w:val="ConsPlusNormal"/>
        <w:jc w:val="both"/>
      </w:pPr>
    </w:p>
    <w:p w:rsidR="00684582" w:rsidRDefault="00684582">
      <w:pPr>
        <w:pStyle w:val="ConsPlusNormal"/>
        <w:jc w:val="both"/>
      </w:pPr>
    </w:p>
    <w:p w:rsidR="00684582" w:rsidRDefault="00684582">
      <w:pPr>
        <w:pStyle w:val="ConsPlusNormal"/>
        <w:jc w:val="both"/>
      </w:pPr>
    </w:p>
    <w:p w:rsidR="00684582" w:rsidRDefault="00684582">
      <w:pPr>
        <w:pStyle w:val="ConsPlusNormal"/>
        <w:jc w:val="both"/>
      </w:pPr>
    </w:p>
    <w:p w:rsidR="00684582" w:rsidRDefault="00684582">
      <w:pPr>
        <w:pStyle w:val="ConsPlusNormal"/>
        <w:jc w:val="both"/>
      </w:pPr>
    </w:p>
    <w:p w:rsidR="00684582" w:rsidRDefault="00CE3EB2">
      <w:pPr>
        <w:pStyle w:val="ConsPlusNormal"/>
        <w:jc w:val="right"/>
        <w:outlineLvl w:val="0"/>
      </w:pPr>
      <w:r>
        <w:t>Утвержд</w:t>
      </w:r>
      <w:r>
        <w:t>ены</w:t>
      </w:r>
    </w:p>
    <w:p w:rsidR="00684582" w:rsidRDefault="00CE3EB2">
      <w:pPr>
        <w:pStyle w:val="ConsPlusNormal"/>
        <w:jc w:val="right"/>
      </w:pPr>
      <w:r>
        <w:t>постановлением</w:t>
      </w:r>
    </w:p>
    <w:p w:rsidR="00684582" w:rsidRDefault="00CE3EB2">
      <w:pPr>
        <w:pStyle w:val="ConsPlusNormal"/>
        <w:jc w:val="right"/>
      </w:pPr>
      <w:r>
        <w:t>Правительства Мурманской области</w:t>
      </w:r>
    </w:p>
    <w:p w:rsidR="00684582" w:rsidRDefault="00CE3EB2">
      <w:pPr>
        <w:pStyle w:val="ConsPlusNormal"/>
        <w:jc w:val="right"/>
      </w:pPr>
      <w:r>
        <w:t>от 28 декабря 2024 г. N 984-ПП</w:t>
      </w:r>
    </w:p>
    <w:p w:rsidR="00684582" w:rsidRDefault="00684582">
      <w:pPr>
        <w:pStyle w:val="ConsPlusNormal"/>
        <w:jc w:val="both"/>
      </w:pPr>
    </w:p>
    <w:p w:rsidR="00684582" w:rsidRDefault="00CE3EB2">
      <w:pPr>
        <w:pStyle w:val="ConsPlusTitle"/>
        <w:jc w:val="center"/>
      </w:pPr>
      <w:bookmarkStart w:id="1" w:name="P26"/>
      <w:bookmarkEnd w:id="1"/>
      <w:r>
        <w:t>ПРАВИЛА</w:t>
      </w:r>
    </w:p>
    <w:p w:rsidR="00684582" w:rsidRDefault="00CE3EB2">
      <w:pPr>
        <w:pStyle w:val="ConsPlusTitle"/>
        <w:jc w:val="center"/>
      </w:pPr>
      <w:r>
        <w:t>ПРЕДОСТАВЛЕНИЯ И РАСПРЕДЕЛЕНИЯ ИНЫХ МЕЖБЮДЖЕТНЫХ ТРАНСФЕРТОВ</w:t>
      </w:r>
    </w:p>
    <w:p w:rsidR="00684582" w:rsidRDefault="00CE3EB2">
      <w:pPr>
        <w:pStyle w:val="ConsPlusTitle"/>
        <w:jc w:val="center"/>
      </w:pPr>
      <w:r>
        <w:t>ИЗ ОБЛАСТНОГО БЮДЖЕТА МЕСТНЫМ БЮДЖЕТАМ В ЦЕЛЯХ ПООЩРЕНИЯ</w:t>
      </w:r>
    </w:p>
    <w:p w:rsidR="00684582" w:rsidRDefault="00CE3EB2">
      <w:pPr>
        <w:pStyle w:val="ConsPlusTitle"/>
        <w:jc w:val="center"/>
      </w:pPr>
      <w:r>
        <w:t>МУНИЦИПАЛЬНЫХ УПРАВЛЕНЧЕСКИХ КОМАНД</w:t>
      </w:r>
    </w:p>
    <w:p w:rsidR="00684582" w:rsidRDefault="00684582">
      <w:pPr>
        <w:pStyle w:val="ConsPlusNormal"/>
        <w:jc w:val="both"/>
      </w:pPr>
    </w:p>
    <w:p w:rsidR="00684582" w:rsidRDefault="00CE3EB2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Правила определяют цели, порядок и условия предоставления иных межбюджетных трансфертов из областного бюджета местным бюджетам, источником финансового обеспечения которых являются средства областного бюджета, в целях поощрения руководителей и </w:t>
      </w:r>
      <w:r>
        <w:t>специалистов органов местного самоуправления городских и муниципальных округов, муниципальных районов Мурманской области, осуществляющих управление в сфере образования (далее - муниципальные образования, ОМСУ, команды-соискатели), за содействие в высоком к</w:t>
      </w:r>
      <w:r>
        <w:t>ачестве подготовки выпускников 11 классов</w:t>
      </w:r>
      <w:proofErr w:type="gramEnd"/>
      <w:r>
        <w:t xml:space="preserve"> </w:t>
      </w:r>
      <w:proofErr w:type="gramStart"/>
      <w:r>
        <w:t xml:space="preserve">общеобразовательных школ муниципальных образований и содействие поступлению их на очную форму обучения в образовательные организации высшего образования или филиалы образовательных организаций высшего образования, </w:t>
      </w:r>
      <w:r>
        <w:t>расположенные на территории Мурманской области, а также поступлению в образовательные организации высшего образования, расположенные за пределами области, по целевым договорам, предусматривающим трудоустройство на территории Мурманской области выпускников,</w:t>
      </w:r>
      <w:r>
        <w:t xml:space="preserve"> завершивших обучение в указанных образовательных организациях.</w:t>
      </w:r>
      <w:proofErr w:type="gramEnd"/>
    </w:p>
    <w:p w:rsidR="00684582" w:rsidRDefault="00CE3EB2">
      <w:pPr>
        <w:pStyle w:val="ConsPlusNormal"/>
        <w:spacing w:before="240"/>
        <w:ind w:firstLine="540"/>
        <w:jc w:val="both"/>
      </w:pPr>
      <w:r>
        <w:lastRenderedPageBreak/>
        <w:t xml:space="preserve">2. </w:t>
      </w:r>
      <w:proofErr w:type="gramStart"/>
      <w:r>
        <w:t>Целью предоставления иных межбюджетных трансфертов является поощрение муниципальных управленческих команд за высокое качество подготовки выпускников 11 классов общеобразовательных школ муни</w:t>
      </w:r>
      <w:r>
        <w:t>ципальных образований и содействие поступлению их на очную форму обучения в образовательные организации высшего образования или филиалы образовательных организаций высшего образования, расположенные на территории Мурманской области, а также поступлению в о</w:t>
      </w:r>
      <w:r>
        <w:t>бразовательные организации высшего образования, расположенные за пределами Мурманской области, по целевым</w:t>
      </w:r>
      <w:proofErr w:type="gramEnd"/>
      <w:r>
        <w:t xml:space="preserve"> договорам, предусматривающим трудоустройство выпускника 11 класса, завершившего обучение в образовательной организации, на территории Мурманской облас</w:t>
      </w:r>
      <w:r>
        <w:t>ти.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3. Иные межбюджетные трансферты предоставляются Министерством образования и науки Мурманской области (далее - Министерство) в соответствии со сводной бюджетной росписью в пределах лимитов бюджетных обязательств, предусмотренных на указанные цели.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>Ин</w:t>
      </w:r>
      <w:r>
        <w:t xml:space="preserve">ые межбюджетные трансферты, предоставленные местным бюджетам, направляются на поощрение лиц, входящих в состав муниципальных управленческих команд (руководитель ОМСУ, специалист ОМСУ), за эффективную </w:t>
      </w:r>
      <w:proofErr w:type="spellStart"/>
      <w:r>
        <w:t>профориентационную</w:t>
      </w:r>
      <w:proofErr w:type="spellEnd"/>
      <w:r>
        <w:t xml:space="preserve"> работу и высокое качество подготовки </w:t>
      </w:r>
      <w:r>
        <w:t>выпускников 11 классов общеобразовательных школ муниципальных образований и содействие поступлению их на очную форму обучения в образовательные организации высшего образования или филиалы образовательных организаций высшего образования, расположенные на те</w:t>
      </w:r>
      <w:r>
        <w:t>рритории Мурманской области, а</w:t>
      </w:r>
      <w:proofErr w:type="gramEnd"/>
      <w:r>
        <w:t xml:space="preserve"> также поступлению в образовательные организации высшего образования, расположенные за пределами Мурманской области, по целевым договорам, предусматривающим трудоустройство выпускника 11 класса, завершившего обучение в образов</w:t>
      </w:r>
      <w:r>
        <w:t>ательной организации, на территории Мурманской области.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5. Распределение иных межбюджетных трансфертов утверждается нормативным правовым актом Правительства Мурманской области.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 xml:space="preserve">6. Право на получение иных межбюджетных трансфертов имеют 5 </w:t>
      </w:r>
      <w:proofErr w:type="gramStart"/>
      <w:r>
        <w:t>муниципальных образ</w:t>
      </w:r>
      <w:r>
        <w:t>ований, занявших первые пять</w:t>
      </w:r>
      <w:proofErr w:type="gramEnd"/>
      <w:r>
        <w:t xml:space="preserve"> мест в рейтинге по результатам конкурсного отбора (далее - Конкурс).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В Конкурсе могут участвовать городские и муниципальные округа, муниципальные районы Мурманской области (далее - муниципальные образования).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7. Проведение Конк</w:t>
      </w:r>
      <w:r>
        <w:t>урса обеспечивает Министерство.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8. Размер иного межбюджетного трансферта, предоставляемого местному бюджету, составляет 750 тыс. рублей на муниципальную управленческую команду, из них: 400 тыс. рублей руководителю ОМСУ и 350 тыс. рублей специалисту ОМСУ.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У</w:t>
      </w:r>
      <w:r>
        <w:t>плата страховых взносов при выплате поощрений осуществляется в соответствии с законодательством Российской Федерации в пределах средств, предусмотренных размером иного межбюджетного трансферта.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Выплата поощрения производится без учета районного коэффициент</w:t>
      </w:r>
      <w:r>
        <w:t>а к заработной плате и процентных надбавок за стаж, установленных федеральным законодательством и законодательством Мурманской области для лиц, работающих и проживающих в районах Крайнего Севера и приравненных к ним местностях.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 xml:space="preserve">9. Министерство ежегодно не </w:t>
      </w:r>
      <w:r>
        <w:t xml:space="preserve">позднее 1 октября текущего года размещает на официальном </w:t>
      </w:r>
      <w:r>
        <w:lastRenderedPageBreak/>
        <w:t xml:space="preserve">сайте Министерства объявление о Конкурсе с указанием сроков приема документов (далее - конкурсные документы), требований, предъявляемых к их оформлению, в соответствии с </w:t>
      </w:r>
      <w:hyperlink w:anchor="P44" w:tooltip="10. Для выдвижения команды-соискателя на присуждение премии муниципальное образование в сроки, указанные в объявлении о Конкурсе, представляет в Министерство лично либо посредством почтовой связи следующие конкурсные документы:">
        <w:r>
          <w:rPr>
            <w:color w:val="0000FF"/>
          </w:rPr>
          <w:t>пунктом 10</w:t>
        </w:r>
      </w:hyperlink>
      <w:r>
        <w:t xml:space="preserve"> настоящих Прави</w:t>
      </w:r>
      <w:r>
        <w:t>л. Срок приема конкурсных документов должен составлять не менее 30 календарных дней со дня размещения объявления о Конкурсе.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 xml:space="preserve">Дополнительная информация по оформлению конкурсной документации предоставляется Министерством на основании устного или письменного </w:t>
      </w:r>
      <w:r>
        <w:t>обращения муниципального образования.</w:t>
      </w:r>
    </w:p>
    <w:p w:rsidR="00684582" w:rsidRDefault="00CE3EB2">
      <w:pPr>
        <w:pStyle w:val="ConsPlusNormal"/>
        <w:spacing w:before="240"/>
        <w:ind w:firstLine="540"/>
        <w:jc w:val="both"/>
      </w:pPr>
      <w:bookmarkStart w:id="2" w:name="P44"/>
      <w:bookmarkEnd w:id="2"/>
      <w:r>
        <w:t xml:space="preserve">10. Для выдвижения команды-соискателя на присуждение премии муниципальное образование в сроки, указанные в объявлении о Конкурсе, представляет в Министерство лично либо посредством почтовой </w:t>
      </w:r>
      <w:proofErr w:type="gramStart"/>
      <w:r>
        <w:t>связи</w:t>
      </w:r>
      <w:proofErr w:type="gramEnd"/>
      <w:r>
        <w:t xml:space="preserve"> следующие конкурсные д</w:t>
      </w:r>
      <w:r>
        <w:t>окументы: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 xml:space="preserve">10.1. Письменное представление на команду-соискателя за подписью главы администрации </w:t>
      </w:r>
      <w:proofErr w:type="gramStart"/>
      <w:r>
        <w:t>городского</w:t>
      </w:r>
      <w:proofErr w:type="gramEnd"/>
      <w:r>
        <w:t xml:space="preserve"> (муниципального) округа, муниципального района Мурманской области, содержащее следующую информацию: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10.1.1. Фамилия, имя, отчество участников команды-</w:t>
      </w:r>
      <w:r>
        <w:t>соискателя, должности, даты приема по основному месту работы в ОМСУ, адреса места жительства, контактный телефон.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10.1.2. Общую характеристику участников команды-соискателя, содержащую:</w:t>
      </w:r>
    </w:p>
    <w:p w:rsidR="00684582" w:rsidRDefault="00CE3EB2">
      <w:pPr>
        <w:pStyle w:val="ConsPlusNormal"/>
        <w:spacing w:before="240"/>
        <w:ind w:firstLine="540"/>
        <w:jc w:val="both"/>
      </w:pPr>
      <w:bookmarkStart w:id="3" w:name="P48"/>
      <w:bookmarkEnd w:id="3"/>
      <w:r>
        <w:t>10.1.2.1. Сведения о количестве выпускников 11 классов общеобразовательных школ муниципального образования (далее выпускники 11 классов), которые поступили на очную форму обучения в образовательные организации высшего образования или филиалы образовательны</w:t>
      </w:r>
      <w:r>
        <w:t>х организаций высшего образования, расположенные на территории Мурманской области.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10.1.2.2. Сведения о количестве выпускников 11 классов, прошедших государственную итоговую аттестацию (далее - ГИА) по образовательным программам среднего общего образования</w:t>
      </w:r>
      <w:r>
        <w:t xml:space="preserve"> (далее - СОО) и получивших по результатам ГИА 100 баллов, которые поступили на очную форму обучения в образовательные организации высшего образования или филиалы образовательных организаций высшего образования, расположенные на территории Мурманской облас</w:t>
      </w:r>
      <w:r>
        <w:t>ти.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10.1.2.3. Сведения о количестве выпускников 11 классов, прошедших ГИА по образовательным программам СОО и получивших по результатам 3 экзаменов не менее 250 баллов, которые поступили на очную форму обучения в образовательные организации высшего образов</w:t>
      </w:r>
      <w:r>
        <w:t>ания или филиалы образовательных организаций высшего образования, расположенные на территории Мурманской области.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10.1.2.4. Сведения о количестве выпускников 11 классов, обучавшихся в рамках проектов "Инженерный класс", "Медицинский класс", "Психолого-педа</w:t>
      </w:r>
      <w:r>
        <w:t>гогический класс", поступивших на очную форму обучения в образовательные организации высшего образования или филиалы образовательных организаций высшего образования, расположенные на территории Мурманской области, согласно профилю.</w:t>
      </w:r>
    </w:p>
    <w:p w:rsidR="00684582" w:rsidRDefault="00CE3EB2">
      <w:pPr>
        <w:pStyle w:val="ConsPlusNormal"/>
        <w:spacing w:before="240"/>
        <w:ind w:firstLine="540"/>
        <w:jc w:val="both"/>
      </w:pPr>
      <w:bookmarkStart w:id="4" w:name="P52"/>
      <w:bookmarkEnd w:id="4"/>
      <w:r>
        <w:t>10.1.2.5. Сведения о кол</w:t>
      </w:r>
      <w:r>
        <w:t>ичестве выпускников 11 классов, которые поступили на очную форму Обучения в образовательные организации высшего образования или филиалы образовательных организаций высшего образования, расположенные на территории Мурманской области, выбравших для поступлен</w:t>
      </w:r>
      <w:r>
        <w:t>ия специальности из регионального перечня ТОП-20 образовательных направлений.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 xml:space="preserve">10.1.2.6. Сведения о количестве выпускников 11 классов, которые поступили в </w:t>
      </w:r>
      <w:r>
        <w:lastRenderedPageBreak/>
        <w:t>образовательные организации высшего образования, расположенные за пределами Мурманской области, по целевым договорам, предусматривающим трудоустройство выпускника, завершившего обу</w:t>
      </w:r>
      <w:r>
        <w:t>чение в образовательной организации, на территории Мурманской области.</w:t>
      </w:r>
    </w:p>
    <w:p w:rsidR="00684582" w:rsidRDefault="00CE3EB2">
      <w:pPr>
        <w:pStyle w:val="ConsPlusNormal"/>
        <w:spacing w:before="240"/>
        <w:ind w:firstLine="540"/>
        <w:jc w:val="both"/>
      </w:pPr>
      <w:bookmarkStart w:id="5" w:name="P54"/>
      <w:bookmarkEnd w:id="5"/>
      <w:r>
        <w:t>10.2. Копии целевых договоров выпускников 11 классов, в случае если выпускник был зачислен в образовательную организацию высшего образования, расположенную за пределами Мурманской облас</w:t>
      </w:r>
      <w:r>
        <w:t>ти, и заключил целевой договор, предусматривающий трудоустройство выпускника на территории Мурманской области после завершения обучения в образовательной организации.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 xml:space="preserve">10.3. Согласия на обработку персональных данных выпускников 11 классов, указанных в </w:t>
      </w:r>
      <w:hyperlink w:anchor="P54" w:tooltip="10.2. Копии целевых договоров выпускников 11 классов, в случае если выпускник был зачислен в образовательную организацию высшего образования, расположенную за пределами Мурманской области, и заключил целевой договор, предусматривающий трудоустройство выпускник">
        <w:r>
          <w:rPr>
            <w:color w:val="0000FF"/>
          </w:rPr>
          <w:t>подпункте 10.2</w:t>
        </w:r>
      </w:hyperlink>
      <w:r>
        <w:t xml:space="preserve"> настоящего пункта.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 xml:space="preserve">10.4. Документы, подтверждающие сведения, указанные в </w:t>
      </w:r>
      <w:hyperlink w:anchor="P48" w:tooltip="10.1.2.1. Сведения о количестве выпускников 11 классов общеобразовательных школ муниципального образования (далее выпускники 11 классов), которые поступили на очную форму обучения в образовательные организации высшего образования или филиалы образовательных ор">
        <w:r>
          <w:rPr>
            <w:color w:val="0000FF"/>
          </w:rPr>
          <w:t>подпунктах 10.1.2.1</w:t>
        </w:r>
      </w:hyperlink>
      <w:r>
        <w:t xml:space="preserve"> - </w:t>
      </w:r>
      <w:hyperlink w:anchor="P52" w:tooltip="10.1.2.5. Сведения о количестве выпускников 11 классов, которые поступили на очную форму Обучения в образовательные организации высшего образования или филиалы образовательных организаций высшего образования, расположенные на территории Мурманской области, выб">
        <w:r>
          <w:rPr>
            <w:color w:val="0000FF"/>
          </w:rPr>
          <w:t>10.1.2.5 пункта 10</w:t>
        </w:r>
      </w:hyperlink>
      <w:r>
        <w:t xml:space="preserve"> настоящих Правил, предос</w:t>
      </w:r>
      <w:r>
        <w:t>тавленные муниципальными образованиями.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11. Министерство регистрирует конкурсные документы в день поступления в порядке очередности с указанием даты и времени их поступления.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 xml:space="preserve">12. </w:t>
      </w:r>
      <w:proofErr w:type="gramStart"/>
      <w:r>
        <w:t>Министерство осуществляет проверку соответствия представленных конкурсных док</w:t>
      </w:r>
      <w:r>
        <w:t xml:space="preserve">ументов требованиям, установленным </w:t>
      </w:r>
      <w:hyperlink w:anchor="P44" w:tooltip="10. Для выдвижения команды-соискателя на присуждение премии муниципальное образование в сроки, указанные в объявлении о Конкурсе, представляет в Министерство лично либо посредством почтовой связи следующие конкурсные документы:">
        <w:r>
          <w:rPr>
            <w:color w:val="0000FF"/>
          </w:rPr>
          <w:t>пунктом 10</w:t>
        </w:r>
      </w:hyperlink>
      <w:r>
        <w:t xml:space="preserve"> настоящих Правил, в течение 5 рабочих дней со дня регистрации конкурсных документов, в случае соответствия конкурсных документов требованиям вносит их на рассмотрение конкурсной комиссии по присуждению Преми</w:t>
      </w:r>
      <w:r>
        <w:t>и (далее - Комиссия) в течение 10 рабочих дней со дня окончания приема конкурсных документов.</w:t>
      </w:r>
      <w:proofErr w:type="gramEnd"/>
    </w:p>
    <w:p w:rsidR="00684582" w:rsidRDefault="00CE3EB2">
      <w:pPr>
        <w:pStyle w:val="ConsPlusNormal"/>
        <w:spacing w:before="240"/>
        <w:ind w:firstLine="540"/>
        <w:jc w:val="both"/>
      </w:pPr>
      <w:r>
        <w:t xml:space="preserve">13. В случае несоответствия конкурсных документов требованиям, установленным </w:t>
      </w:r>
      <w:hyperlink w:anchor="P44" w:tooltip="10. Для выдвижения команды-соискателя на присуждение премии муниципальное образование в сроки, указанные в объявлении о Конкурсе, представляет в Министерство лично либо посредством почтовой связи следующие конкурсные документы:">
        <w:r>
          <w:rPr>
            <w:color w:val="0000FF"/>
          </w:rPr>
          <w:t>пунктом 10</w:t>
        </w:r>
      </w:hyperlink>
      <w:r>
        <w:t xml:space="preserve"> настоящих Правил, конкурсные документы не </w:t>
      </w:r>
      <w:proofErr w:type="gramStart"/>
      <w:r>
        <w:t>рассматриваются и возвращаютс</w:t>
      </w:r>
      <w:r>
        <w:t>я</w:t>
      </w:r>
      <w:proofErr w:type="gramEnd"/>
      <w:r>
        <w:t xml:space="preserve"> муниципальному образованию.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 xml:space="preserve">В случае несоответствия всех конкурсных документов требованиям, установленным </w:t>
      </w:r>
      <w:hyperlink w:anchor="P44" w:tooltip="10. Для выдвижения команды-соискателя на присуждение премии муниципальное образование в сроки, указанные в объявлении о Конкурсе, представляет в Министерство лично либо посредством почтовой связи следующие конкурсные документы:">
        <w:r>
          <w:rPr>
            <w:color w:val="0000FF"/>
          </w:rPr>
          <w:t>пунктом 10</w:t>
        </w:r>
      </w:hyperlink>
      <w:r>
        <w:t xml:space="preserve"> настоящих Правил, Конкурс признается несостоявшимся.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14. Конкурсные документы, поступившие в Министерство после окончания срока их при</w:t>
      </w:r>
      <w:r>
        <w:t>ема, не рассматриваются.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15. Комиссия создается на период проведения Конкурса в течение 15 рабочих дней со дня его объявления.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16. Комиссия является коллегиальным органом. В состав Комиссии входят председатель Комиссии, заместитель председателя Комиссии, с</w:t>
      </w:r>
      <w:r>
        <w:t>екретарь и члены Комиссии.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 xml:space="preserve">17. Количество членов Комиссии - не менее 7 человек, из них: не более трех представителей Министерства, не менее двух представителей других исполнительных органов Мурманской области и два представителя некоммерческих организаций </w:t>
      </w:r>
      <w:r>
        <w:t>Мурманской области.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18. Состав Комиссии утверждается приказом Министерства.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19. На заседании Комиссии должно присутствовать не менее двух третей от состава Комиссии.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20. Комиссия в течение 10 рабочих дней со дня получения конкурсных документов осуществляет</w:t>
      </w:r>
      <w:r>
        <w:t xml:space="preserve"> оценку конкурсных документов.</w:t>
      </w:r>
    </w:p>
    <w:p w:rsidR="00684582" w:rsidRDefault="00CE3EB2">
      <w:pPr>
        <w:pStyle w:val="ConsPlusNormal"/>
        <w:spacing w:before="240"/>
        <w:ind w:firstLine="540"/>
        <w:jc w:val="both"/>
      </w:pPr>
      <w:bookmarkStart w:id="6" w:name="P68"/>
      <w:bookmarkEnd w:id="6"/>
      <w:r>
        <w:lastRenderedPageBreak/>
        <w:t>21. Оценка представленных конкурсных документов осуществляется по балльной системе:</w:t>
      </w:r>
    </w:p>
    <w:p w:rsidR="00684582" w:rsidRDefault="00684582">
      <w:pPr>
        <w:pStyle w:val="ConsPlusNormal"/>
        <w:jc w:val="both"/>
      </w:pPr>
    </w:p>
    <w:p w:rsidR="00684582" w:rsidRDefault="00684582">
      <w:pPr>
        <w:pStyle w:val="ConsPlusNormal"/>
        <w:sectPr w:rsidR="00684582"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086"/>
        <w:gridCol w:w="1417"/>
        <w:gridCol w:w="1134"/>
        <w:gridCol w:w="1417"/>
        <w:gridCol w:w="1701"/>
      </w:tblGrid>
      <w:tr w:rsidR="00684582">
        <w:tc>
          <w:tcPr>
            <w:tcW w:w="567" w:type="dxa"/>
          </w:tcPr>
          <w:p w:rsidR="00684582" w:rsidRDefault="00CE3EB2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086" w:type="dxa"/>
          </w:tcPr>
          <w:p w:rsidR="00684582" w:rsidRDefault="00CE3EB2">
            <w:pPr>
              <w:pStyle w:val="ConsPlusNormal"/>
              <w:jc w:val="center"/>
            </w:pPr>
            <w:r>
              <w:t>Критерий</w:t>
            </w:r>
          </w:p>
        </w:tc>
        <w:tc>
          <w:tcPr>
            <w:tcW w:w="1417" w:type="dxa"/>
          </w:tcPr>
          <w:p w:rsidR="00684582" w:rsidRDefault="00CE3EB2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1134" w:type="dxa"/>
          </w:tcPr>
          <w:p w:rsidR="00684582" w:rsidRDefault="00CE3EB2">
            <w:pPr>
              <w:pStyle w:val="ConsPlusNormal"/>
              <w:jc w:val="center"/>
            </w:pPr>
            <w:r>
              <w:t>Оценка критерия</w:t>
            </w:r>
          </w:p>
        </w:tc>
        <w:tc>
          <w:tcPr>
            <w:tcW w:w="1417" w:type="dxa"/>
          </w:tcPr>
          <w:p w:rsidR="00684582" w:rsidRDefault="00CE3EB2">
            <w:pPr>
              <w:pStyle w:val="ConsPlusNormal"/>
              <w:jc w:val="center"/>
            </w:pPr>
            <w:r>
              <w:t>Количество баллов</w:t>
            </w:r>
          </w:p>
        </w:tc>
        <w:tc>
          <w:tcPr>
            <w:tcW w:w="1701" w:type="dxa"/>
          </w:tcPr>
          <w:p w:rsidR="00684582" w:rsidRDefault="00CE3EB2">
            <w:pPr>
              <w:pStyle w:val="ConsPlusNormal"/>
              <w:jc w:val="center"/>
            </w:pPr>
            <w:r>
              <w:t>Максимальное количество баллов</w:t>
            </w:r>
          </w:p>
        </w:tc>
      </w:tr>
      <w:tr w:rsidR="00684582">
        <w:tc>
          <w:tcPr>
            <w:tcW w:w="567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86" w:type="dxa"/>
            <w:vMerge w:val="restart"/>
          </w:tcPr>
          <w:p w:rsidR="00684582" w:rsidRDefault="00CE3EB2">
            <w:pPr>
              <w:pStyle w:val="ConsPlusNormal"/>
            </w:pPr>
            <w:r>
              <w:t>Доля выпускников 11 классов, которые поступили на очную форму обучения в образовательные организации высшего образования или филиалы образовательных организаций высшего образования, расположенные на территории Мурманской области, от общего количества выпус</w:t>
            </w:r>
            <w:r>
              <w:t>кников 11 классов</w:t>
            </w:r>
          </w:p>
        </w:tc>
        <w:tc>
          <w:tcPr>
            <w:tcW w:w="1417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до 25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3</w:t>
            </w:r>
          </w:p>
        </w:tc>
      </w:tr>
      <w:tr w:rsidR="00684582">
        <w:tc>
          <w:tcPr>
            <w:tcW w:w="56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6086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от 26 до 50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Merge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56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6086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51 и выше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vMerge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567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86" w:type="dxa"/>
            <w:vMerge w:val="restart"/>
          </w:tcPr>
          <w:p w:rsidR="00684582" w:rsidRDefault="00CE3EB2">
            <w:pPr>
              <w:pStyle w:val="ConsPlusNormal"/>
            </w:pPr>
            <w:r>
              <w:t>Доля выпускников 11 классов, прошедших ГИА по образовательным программам СОО и получивших по результатам ГИА 100 баллов, которые поступили на очную форму обучения в образовательные организации высшего образования или филиалы образовательных организаций выс</w:t>
            </w:r>
            <w:r>
              <w:t>шего образования, расположенные на территории Мурманской области, от общего количества выпускников 11 классов</w:t>
            </w:r>
          </w:p>
        </w:tc>
        <w:tc>
          <w:tcPr>
            <w:tcW w:w="1417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до 30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3</w:t>
            </w:r>
          </w:p>
        </w:tc>
      </w:tr>
      <w:tr w:rsidR="00684582">
        <w:tc>
          <w:tcPr>
            <w:tcW w:w="56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6086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от 31 до 50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Merge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56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6086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51 и выше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vMerge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567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86" w:type="dxa"/>
            <w:vMerge w:val="restart"/>
          </w:tcPr>
          <w:p w:rsidR="00684582" w:rsidRDefault="00CE3EB2">
            <w:pPr>
              <w:pStyle w:val="ConsPlusNormal"/>
            </w:pPr>
            <w:r>
              <w:t>Доля выпускников 11 классов, прошедших ГИА по образовательным программам СОО и получивших по результатам 3 экзаменов не менее 250 баллов, которые поступили на очную форму обучения в образовательные организации высшего образования или филиалы образовательны</w:t>
            </w:r>
            <w:r>
              <w:t>х организаций высшего образования, расположенные на территории Мурманской области, от общего количества выпускников 11 классов</w:t>
            </w:r>
          </w:p>
        </w:tc>
        <w:tc>
          <w:tcPr>
            <w:tcW w:w="1417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до 30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3</w:t>
            </w:r>
          </w:p>
        </w:tc>
      </w:tr>
      <w:tr w:rsidR="00684582">
        <w:tc>
          <w:tcPr>
            <w:tcW w:w="56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6086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от 31 до 50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Merge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56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6086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51 и выше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vMerge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56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6086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51 и выше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vMerge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567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86" w:type="dxa"/>
            <w:vMerge w:val="restart"/>
          </w:tcPr>
          <w:p w:rsidR="00684582" w:rsidRDefault="00CE3EB2">
            <w:pPr>
              <w:pStyle w:val="ConsPlusNormal"/>
            </w:pPr>
            <w:r>
              <w:t>Доля выпускников 11 классов, обучавшихся в рамках проектов "</w:t>
            </w:r>
            <w:r>
              <w:t xml:space="preserve">Инженерный класс", "Медицинский класс", "Психолого-педагогический класс", поступивших на очную форму обучения в образовательные организации высшего образования или филиалы образовательных </w:t>
            </w:r>
            <w:r>
              <w:lastRenderedPageBreak/>
              <w:t>организаций высшего образования, расположенные на территории Мурманс</w:t>
            </w:r>
            <w:r>
              <w:t>кой области, от общего количества выпускников 11 классов</w:t>
            </w:r>
          </w:p>
        </w:tc>
        <w:tc>
          <w:tcPr>
            <w:tcW w:w="1417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до 25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3</w:t>
            </w:r>
          </w:p>
        </w:tc>
      </w:tr>
      <w:tr w:rsidR="00684582">
        <w:tc>
          <w:tcPr>
            <w:tcW w:w="56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6086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от 26 до 50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Merge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56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6086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 xml:space="preserve">51 и </w:t>
            </w:r>
            <w:r>
              <w:lastRenderedPageBreak/>
              <w:t>выше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701" w:type="dxa"/>
            <w:vMerge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56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6086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от 26 до 50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Merge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56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6086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51 и выше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vMerge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567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86" w:type="dxa"/>
            <w:vMerge w:val="restart"/>
          </w:tcPr>
          <w:p w:rsidR="00684582" w:rsidRDefault="00CE3EB2">
            <w:pPr>
              <w:pStyle w:val="ConsPlusNormal"/>
            </w:pPr>
            <w:r>
              <w:t xml:space="preserve">Доля выпускников 11 классов, которые поступили на очную форму обучения в образовательные организации высшего образования или филиалы образовательных организаций высшего образования, расположенные на территории Мурманской области, выбравших для поступления </w:t>
            </w:r>
            <w:r>
              <w:t>специальности из регионального перечня ТОП-20 образовательных направлений, от общего количества выпускников 11 классов</w:t>
            </w:r>
          </w:p>
        </w:tc>
        <w:tc>
          <w:tcPr>
            <w:tcW w:w="1417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до 25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3</w:t>
            </w:r>
          </w:p>
        </w:tc>
      </w:tr>
      <w:tr w:rsidR="00684582">
        <w:tc>
          <w:tcPr>
            <w:tcW w:w="56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6086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от 26 до 50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Merge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56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6086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51 и выше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vMerge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567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86" w:type="dxa"/>
            <w:vMerge w:val="restart"/>
          </w:tcPr>
          <w:p w:rsidR="00684582" w:rsidRDefault="00CE3EB2">
            <w:pPr>
              <w:pStyle w:val="ConsPlusNormal"/>
            </w:pPr>
            <w:r>
              <w:t>Доля выпускников 11 классов, которые поступили в образовательные организации высшего образования, расположенные на территории и за пределами Мурманской области, по целевым договорам, предусматривающим трудоустройство выпускника, завершившего обучение в обр</w:t>
            </w:r>
            <w:r>
              <w:t>азовательной организации, на территории Мурманской области, от общего количества выпускников 11 классов</w:t>
            </w:r>
          </w:p>
        </w:tc>
        <w:tc>
          <w:tcPr>
            <w:tcW w:w="1417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до 25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3</w:t>
            </w:r>
          </w:p>
        </w:tc>
      </w:tr>
      <w:tr w:rsidR="00684582">
        <w:tc>
          <w:tcPr>
            <w:tcW w:w="56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6086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от 26 до 50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Merge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56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6086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51 и выше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vMerge/>
          </w:tcPr>
          <w:p w:rsidR="00684582" w:rsidRDefault="00684582">
            <w:pPr>
              <w:pStyle w:val="ConsPlusNormal"/>
            </w:pPr>
          </w:p>
        </w:tc>
      </w:tr>
    </w:tbl>
    <w:p w:rsidR="00684582" w:rsidRDefault="00684582">
      <w:pPr>
        <w:pStyle w:val="ConsPlusNormal"/>
        <w:sectPr w:rsidR="00684582"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684582" w:rsidRDefault="00684582">
      <w:pPr>
        <w:pStyle w:val="ConsPlusNormal"/>
        <w:jc w:val="both"/>
      </w:pPr>
    </w:p>
    <w:p w:rsidR="00684582" w:rsidRDefault="00CE3EB2">
      <w:pPr>
        <w:pStyle w:val="ConsPlusNormal"/>
        <w:ind w:firstLine="540"/>
        <w:jc w:val="both"/>
      </w:pPr>
      <w:r>
        <w:t>22. Оценка конкурсных документов муниципальных образований оформляется в письменном виде. Каждый член Комиссии заполняет опросный лист, форма которого утверждается приказом Министерства. Итоговая оценка производится путем определения средней арифметической</w:t>
      </w:r>
      <w:r>
        <w:t xml:space="preserve"> величины суммы баллов, присвоенных членами Комиссии по критериям, указанным в </w:t>
      </w:r>
      <w:hyperlink w:anchor="P68" w:tooltip="21. Оценка представленных конкурсных документов осуществляется по балльной системе:">
        <w:r>
          <w:rPr>
            <w:color w:val="0000FF"/>
          </w:rPr>
          <w:t>пункте 21</w:t>
        </w:r>
      </w:hyperlink>
      <w:r>
        <w:t xml:space="preserve"> настоящих Правил.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23. Формирование рейтинга осуществляется с указанием баллов по каждому муниципальному образованию. При равном количестве набранных баллов порядковые номера муниципальному образованию присваиваются по дате и времени подачи заявки на участие в Конкурсе (</w:t>
      </w:r>
      <w:proofErr w:type="gramStart"/>
      <w:r>
        <w:t>от</w:t>
      </w:r>
      <w:proofErr w:type="gramEnd"/>
      <w:r>
        <w:t xml:space="preserve"> б</w:t>
      </w:r>
      <w:r>
        <w:t>олее ранней к более поздней).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На основании рейтинга муниципальных образований Комиссия формирует список муниципальных образований для присуждения премии.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24. Решение Комиссии принимается открытым голосованием.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 xml:space="preserve">25. Результаты </w:t>
      </w:r>
      <w:proofErr w:type="spellStart"/>
      <w:r>
        <w:t>рейтингования</w:t>
      </w:r>
      <w:proofErr w:type="spellEnd"/>
      <w:r>
        <w:t xml:space="preserve"> муниципальных обр</w:t>
      </w:r>
      <w:r>
        <w:t>азований оформляются протоколом, который утверждается приказом Министерства.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26. Комиссия определяет победителей Конкурса в соответствии с рейтингом муниципальных образований.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27. Министерство в течение 10 рабочих дней со дня заседания Комиссии размещает п</w:t>
      </w:r>
      <w:r>
        <w:t>риказ об утверждении результатов Конкурса на официальном сайте Министерства.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 xml:space="preserve">28. </w:t>
      </w:r>
      <w:proofErr w:type="gramStart"/>
      <w:r>
        <w:t>Иной межбюджетный трансферт предоставляется из областного бюджета в соответствии со сводной бюджетной росписью и кассовым планом выплат в пределах лимитов бюджетных обязательс</w:t>
      </w:r>
      <w:r>
        <w:t>тв, предусмотренных на указанные цели, и перечисляется в бюджеты соответствующих муниципальных образований на счета территориальных органов Федерального казначейства, открытые для кассового обслуживания исполнения местных бюджетов, на лицевые счета соответ</w:t>
      </w:r>
      <w:r>
        <w:t>ствующих администраторов доходов, уполномоченных на его использование, по заявке муниципальных образований</w:t>
      </w:r>
      <w:proofErr w:type="gramEnd"/>
      <w:r>
        <w:t xml:space="preserve"> Мурманской области.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 xml:space="preserve">29. ОМСУ в срок до 1 декабря текущего года представляют </w:t>
      </w:r>
      <w:proofErr w:type="gramStart"/>
      <w:r>
        <w:t xml:space="preserve">в Министерство </w:t>
      </w:r>
      <w:hyperlink w:anchor="P166" w:tooltip="ОТЧЕТ">
        <w:r>
          <w:rPr>
            <w:color w:val="0000FF"/>
          </w:rPr>
          <w:t>отчет</w:t>
        </w:r>
      </w:hyperlink>
      <w:r>
        <w:t xml:space="preserve"> о целевом испо</w:t>
      </w:r>
      <w:r>
        <w:t>льзовании выделенных средств по форме согласно приложению к настоящим Правилам с приложением</w:t>
      </w:r>
      <w:proofErr w:type="gramEnd"/>
      <w:r>
        <w:t xml:space="preserve"> копий первичных документов, подтверждающих возникновение денежных обязательств у получателей средств и факт направления средств по целевому назначению.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30. Неиспол</w:t>
      </w:r>
      <w:r>
        <w:t>ьзованные денежные средства перечисляются ОМСУ на счет Министерства в срок до 15 декабря текущего года.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31. ОМСУ несут ответственность за нецелевое использование выделенных средств, недостоверность предоставляемой информации и сведений, содержащихся в отче</w:t>
      </w:r>
      <w:r>
        <w:t>тах по предоставляемому иному межбюджетному трансферту.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32. В случае нецелевого использования иных межбюджетных трансфертов указанные средства подлежат взысканию в областной бюджет в порядке, установленном законодательством Российской Федерации.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33. Неиспо</w:t>
      </w:r>
      <w:r>
        <w:t>льзованный остаток иного межбюджетного трансферта подлежит возврату в доход областного бюджета.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lastRenderedPageBreak/>
        <w:t>34. В случае если неиспользованный остаток иного межбюджетного трансферта не перечислен в доход областного бюджета, указанные средства подлежат взысканию в дохо</w:t>
      </w:r>
      <w:r>
        <w:t>д областного бюджета в порядке, установленном Министерством финансов Мурманской области.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 xml:space="preserve">35. </w:t>
      </w:r>
      <w:proofErr w:type="gramStart"/>
      <w:r>
        <w:t>Контроль за</w:t>
      </w:r>
      <w:proofErr w:type="gramEnd"/>
      <w:r>
        <w:t xml:space="preserve"> соблюдением ОМСУ целей и условий предоставления иных межбюджетных трансфертов осуществляют Министерство и органы государственного финансового контроля </w:t>
      </w:r>
      <w:r>
        <w:t>Мурманской области.</w:t>
      </w:r>
    </w:p>
    <w:p w:rsidR="00684582" w:rsidRDefault="00684582">
      <w:pPr>
        <w:pStyle w:val="ConsPlusNormal"/>
        <w:jc w:val="both"/>
      </w:pPr>
    </w:p>
    <w:p w:rsidR="00684582" w:rsidRDefault="00684582">
      <w:pPr>
        <w:pStyle w:val="ConsPlusNormal"/>
        <w:jc w:val="both"/>
      </w:pPr>
    </w:p>
    <w:p w:rsidR="00684582" w:rsidRDefault="00684582">
      <w:pPr>
        <w:pStyle w:val="ConsPlusNormal"/>
        <w:jc w:val="both"/>
      </w:pPr>
    </w:p>
    <w:p w:rsidR="00684582" w:rsidRDefault="00684582">
      <w:pPr>
        <w:pStyle w:val="ConsPlusNormal"/>
        <w:jc w:val="both"/>
      </w:pPr>
    </w:p>
    <w:p w:rsidR="00684582" w:rsidRDefault="00684582">
      <w:pPr>
        <w:pStyle w:val="ConsPlusNormal"/>
        <w:jc w:val="both"/>
      </w:pPr>
    </w:p>
    <w:p w:rsidR="00684582" w:rsidRDefault="00CE3EB2">
      <w:pPr>
        <w:pStyle w:val="ConsPlusNormal"/>
        <w:jc w:val="right"/>
        <w:outlineLvl w:val="1"/>
      </w:pPr>
      <w:r>
        <w:t>Приложение</w:t>
      </w:r>
    </w:p>
    <w:p w:rsidR="00684582" w:rsidRDefault="00CE3EB2">
      <w:pPr>
        <w:pStyle w:val="ConsPlusNormal"/>
        <w:jc w:val="right"/>
      </w:pPr>
      <w:r>
        <w:t>к Правилам</w:t>
      </w:r>
    </w:p>
    <w:p w:rsidR="00684582" w:rsidRDefault="00684582">
      <w:pPr>
        <w:pStyle w:val="ConsPlusNormal"/>
        <w:jc w:val="both"/>
      </w:pPr>
    </w:p>
    <w:p w:rsidR="00684582" w:rsidRDefault="00CE3EB2">
      <w:pPr>
        <w:pStyle w:val="ConsPlusNormal"/>
        <w:jc w:val="center"/>
      </w:pPr>
      <w:bookmarkStart w:id="7" w:name="P166"/>
      <w:bookmarkEnd w:id="7"/>
      <w:r>
        <w:t>ОТЧЕТ</w:t>
      </w:r>
    </w:p>
    <w:p w:rsidR="00684582" w:rsidRDefault="00CE3EB2">
      <w:pPr>
        <w:pStyle w:val="ConsPlusNormal"/>
        <w:jc w:val="center"/>
      </w:pPr>
      <w:r>
        <w:t xml:space="preserve">О РАСХОДОВАНИИ ИНОГО МЕЖБЮДЖЕТНОГО ТРАНСФЕРТА </w:t>
      </w:r>
      <w:proofErr w:type="gramStart"/>
      <w:r>
        <w:t>ИЗ</w:t>
      </w:r>
      <w:proofErr w:type="gramEnd"/>
      <w:r>
        <w:t xml:space="preserve"> ОБЛАСТНОГО</w:t>
      </w:r>
    </w:p>
    <w:p w:rsidR="00684582" w:rsidRDefault="00CE3EB2">
      <w:pPr>
        <w:pStyle w:val="ConsPlusNormal"/>
        <w:jc w:val="center"/>
      </w:pPr>
      <w:r>
        <w:t>БЮДЖЕТА МЕСТНЫМ БЮДЖЕТАМ В ЦЕЛЯХ ПООЩРЕНИЯ МУНИЦИПАЛЬНЫХ</w:t>
      </w:r>
    </w:p>
    <w:p w:rsidR="00684582" w:rsidRDefault="00CE3EB2">
      <w:pPr>
        <w:pStyle w:val="ConsPlusNormal"/>
        <w:jc w:val="center"/>
      </w:pPr>
      <w:r>
        <w:t>УПРАВЛЕНЧЕСКИХ КОМАНД НА ____________ 202__ ГОДА</w:t>
      </w:r>
    </w:p>
    <w:p w:rsidR="00684582" w:rsidRDefault="00684582">
      <w:pPr>
        <w:pStyle w:val="ConsPlusNormal"/>
        <w:jc w:val="both"/>
      </w:pPr>
    </w:p>
    <w:p w:rsidR="00684582" w:rsidRDefault="00CE3EB2">
      <w:pPr>
        <w:pStyle w:val="ConsPlusNormal"/>
        <w:ind w:firstLine="540"/>
        <w:jc w:val="both"/>
      </w:pPr>
      <w:r>
        <w:t>Наименование органа местного самоуправления:</w:t>
      </w:r>
    </w:p>
    <w:p w:rsidR="00684582" w:rsidRDefault="00CE3EB2">
      <w:pPr>
        <w:pStyle w:val="ConsPlusNormal"/>
        <w:spacing w:before="240"/>
        <w:ind w:firstLine="540"/>
        <w:jc w:val="both"/>
      </w:pPr>
      <w:r>
        <w:t>Единица измерения: рубль (с точностью до второго десятичного знака после запятой).</w:t>
      </w:r>
    </w:p>
    <w:p w:rsidR="00684582" w:rsidRDefault="0068458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79"/>
        <w:gridCol w:w="850"/>
        <w:gridCol w:w="1134"/>
        <w:gridCol w:w="1134"/>
        <w:gridCol w:w="1417"/>
      </w:tblGrid>
      <w:tr w:rsidR="00684582">
        <w:tc>
          <w:tcPr>
            <w:tcW w:w="4479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50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Кол-во человек</w:t>
            </w:r>
          </w:p>
        </w:tc>
        <w:tc>
          <w:tcPr>
            <w:tcW w:w="1134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Объем премии</w:t>
            </w:r>
          </w:p>
        </w:tc>
        <w:tc>
          <w:tcPr>
            <w:tcW w:w="1417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Страховые взносы</w:t>
            </w:r>
          </w:p>
        </w:tc>
      </w:tr>
      <w:tr w:rsidR="00684582">
        <w:tc>
          <w:tcPr>
            <w:tcW w:w="4479" w:type="dxa"/>
          </w:tcPr>
          <w:p w:rsidR="00684582" w:rsidRDefault="00CE3EB2">
            <w:pPr>
              <w:pStyle w:val="ConsPlusNormal"/>
            </w:pPr>
            <w:r>
              <w:t>Поступило средств иного межбюджетного трансфер</w:t>
            </w:r>
            <w:r>
              <w:t>та из областного бюджета</w:t>
            </w:r>
          </w:p>
        </w:tc>
        <w:tc>
          <w:tcPr>
            <w:tcW w:w="850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4479" w:type="dxa"/>
            <w:tcBorders>
              <w:bottom w:val="nil"/>
            </w:tcBorders>
          </w:tcPr>
          <w:p w:rsidR="00684582" w:rsidRDefault="00CE3EB2">
            <w:pPr>
              <w:pStyle w:val="ConsPlusNormal"/>
            </w:pPr>
            <w:r>
              <w:t>Израсходовано средств бюджета субъекта Российской Федерации (кассовый расход), в том числе:</w:t>
            </w:r>
          </w:p>
        </w:tc>
        <w:tc>
          <w:tcPr>
            <w:tcW w:w="850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  <w:vMerge w:val="restart"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 w:val="restart"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4479" w:type="dxa"/>
            <w:tcBorders>
              <w:top w:val="nil"/>
            </w:tcBorders>
          </w:tcPr>
          <w:p w:rsidR="00684582" w:rsidRDefault="00CE3EB2">
            <w:pPr>
              <w:pStyle w:val="ConsPlusNormal"/>
            </w:pPr>
            <w:r>
              <w:t>(200 = 210 + 220)</w:t>
            </w:r>
          </w:p>
        </w:tc>
        <w:tc>
          <w:tcPr>
            <w:tcW w:w="850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4479" w:type="dxa"/>
          </w:tcPr>
          <w:p w:rsidR="00684582" w:rsidRDefault="00CE3EB2">
            <w:pPr>
              <w:pStyle w:val="ConsPlusNormal"/>
            </w:pPr>
            <w:r>
              <w:t>в целях поощрения руководителя ОМСУ</w:t>
            </w:r>
          </w:p>
        </w:tc>
        <w:tc>
          <w:tcPr>
            <w:tcW w:w="850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134" w:type="dxa"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4479" w:type="dxa"/>
          </w:tcPr>
          <w:p w:rsidR="00684582" w:rsidRDefault="00CE3EB2">
            <w:pPr>
              <w:pStyle w:val="ConsPlusNormal"/>
            </w:pPr>
            <w:r>
              <w:t xml:space="preserve">в целях поощрения специалиста ОМСУ, занимающегося </w:t>
            </w:r>
            <w:proofErr w:type="spellStart"/>
            <w:r>
              <w:t>профориентационной</w:t>
            </w:r>
            <w:proofErr w:type="spellEnd"/>
            <w:r>
              <w:t xml:space="preserve"> работой</w:t>
            </w:r>
          </w:p>
        </w:tc>
        <w:tc>
          <w:tcPr>
            <w:tcW w:w="850" w:type="dxa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134" w:type="dxa"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</w:tcPr>
          <w:p w:rsidR="00684582" w:rsidRDefault="00684582">
            <w:pPr>
              <w:pStyle w:val="ConsPlusNormal"/>
            </w:pPr>
          </w:p>
        </w:tc>
      </w:tr>
      <w:tr w:rsidR="00684582">
        <w:tc>
          <w:tcPr>
            <w:tcW w:w="4479" w:type="dxa"/>
            <w:tcBorders>
              <w:bottom w:val="nil"/>
            </w:tcBorders>
          </w:tcPr>
          <w:p w:rsidR="00684582" w:rsidRDefault="00CE3EB2">
            <w:pPr>
              <w:pStyle w:val="ConsPlusNormal"/>
            </w:pPr>
            <w:r>
              <w:t>Всего остатков средств иного межбюджетного трансферта из областного бюджета на конец года</w:t>
            </w:r>
          </w:p>
        </w:tc>
        <w:tc>
          <w:tcPr>
            <w:tcW w:w="850" w:type="dxa"/>
            <w:vMerge w:val="restart"/>
            <w:vAlign w:val="center"/>
          </w:tcPr>
          <w:p w:rsidR="00684582" w:rsidRDefault="00CE3EB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  <w:vMerge w:val="restart"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 w:val="restart"/>
          </w:tcPr>
          <w:p w:rsidR="00684582" w:rsidRDefault="00684582">
            <w:pPr>
              <w:pStyle w:val="ConsPlusNormal"/>
            </w:pPr>
          </w:p>
        </w:tc>
      </w:tr>
      <w:tr w:rsidR="00684582">
        <w:tblPrEx>
          <w:tblBorders>
            <w:insideH w:val="nil"/>
          </w:tblBorders>
        </w:tblPrEx>
        <w:tc>
          <w:tcPr>
            <w:tcW w:w="4479" w:type="dxa"/>
            <w:tcBorders>
              <w:top w:val="nil"/>
            </w:tcBorders>
          </w:tcPr>
          <w:p w:rsidR="00684582" w:rsidRDefault="00CE3EB2">
            <w:pPr>
              <w:pStyle w:val="ConsPlusNormal"/>
            </w:pPr>
            <w:r>
              <w:t xml:space="preserve">(300 = 100 - 200) </w:t>
            </w:r>
            <w:hyperlink w:anchor="P208" w:tooltip="&lt;*&gt; Причины наличия остатков подлежат отражению в пояснительной записке к настоящему отчету.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850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134" w:type="dxa"/>
            <w:vMerge/>
          </w:tcPr>
          <w:p w:rsidR="00684582" w:rsidRDefault="00684582">
            <w:pPr>
              <w:pStyle w:val="ConsPlusNormal"/>
            </w:pPr>
          </w:p>
        </w:tc>
        <w:tc>
          <w:tcPr>
            <w:tcW w:w="1417" w:type="dxa"/>
            <w:vMerge/>
          </w:tcPr>
          <w:p w:rsidR="00684582" w:rsidRDefault="00684582">
            <w:pPr>
              <w:pStyle w:val="ConsPlusNormal"/>
            </w:pPr>
          </w:p>
        </w:tc>
      </w:tr>
    </w:tbl>
    <w:p w:rsidR="00684582" w:rsidRDefault="00684582">
      <w:pPr>
        <w:pStyle w:val="ConsPlusNormal"/>
        <w:jc w:val="both"/>
      </w:pPr>
    </w:p>
    <w:p w:rsidR="00684582" w:rsidRDefault="00CE3EB2">
      <w:pPr>
        <w:pStyle w:val="ConsPlusNormal"/>
        <w:ind w:firstLine="540"/>
        <w:jc w:val="both"/>
      </w:pPr>
      <w:r>
        <w:t>--------------------------------</w:t>
      </w:r>
    </w:p>
    <w:p w:rsidR="00684582" w:rsidRDefault="00CE3EB2">
      <w:pPr>
        <w:pStyle w:val="ConsPlusNormal"/>
        <w:spacing w:before="240"/>
        <w:ind w:firstLine="540"/>
        <w:jc w:val="both"/>
      </w:pPr>
      <w:bookmarkStart w:id="8" w:name="P208"/>
      <w:bookmarkEnd w:id="8"/>
      <w:r>
        <w:lastRenderedPageBreak/>
        <w:t>&lt;*&gt;</w:t>
      </w:r>
      <w:r>
        <w:t xml:space="preserve"> Причины наличия остатков подлежат отражению в пояснительной записке к настоящему отчету.</w:t>
      </w:r>
    </w:p>
    <w:p w:rsidR="00684582" w:rsidRDefault="00684582">
      <w:pPr>
        <w:pStyle w:val="ConsPlusNormal"/>
        <w:jc w:val="both"/>
      </w:pPr>
    </w:p>
    <w:p w:rsidR="00684582" w:rsidRDefault="00CE3EB2">
      <w:pPr>
        <w:pStyle w:val="ConsPlusNormal"/>
      </w:pPr>
      <w:r>
        <w:rPr>
          <w:i/>
        </w:rPr>
        <w:br/>
        <w:t>Постановление Правительства Мурманской области от 28.12.2024 N 984-ПП "Об утверждении правил предоставления и распределения иных межбюджетных трансфертов из областн</w:t>
      </w:r>
      <w:r>
        <w:rPr>
          <w:i/>
        </w:rPr>
        <w:t>ого бюджета местным бюджетам в целях поощрения муниципальных управленческих команд"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684582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582"/>
    <w:rsid w:val="00684582"/>
    <w:rsid w:val="00CE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3015</Words>
  <Characters>17189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28.12.2024 N 984-ПП
"Об утверждении правил предоставления и распределения иных межбюджетных трансфертов из областного бюджета местным бюджетам в целях поощрения муниципальных управленческих команд"</vt:lpstr>
    </vt:vector>
  </TitlesOfParts>
  <Company>КонсультантПлюс Версия 4024.00.50</Company>
  <LinksUpToDate>false</LinksUpToDate>
  <CharactersWithSpaces>20164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28.12.2024 N 984-ПП
"Об утверждении правил предоставления и распределения иных межбюджетных трансфертов из областного бюджета местным бюджетам в целях поощрения муниципальных управленческих команд"</dc:title>
  <dc:creator>Горецкая А.В.</dc:creator>
  <cp:lastModifiedBy>Горецкая А.В.</cp:lastModifiedBy>
  <cp:revision>2</cp:revision>
  <dcterms:created xsi:type="dcterms:W3CDTF">2025-10-30T13:51:00Z</dcterms:created>
  <dcterms:modified xsi:type="dcterms:W3CDTF">2025-10-30T13:51:00Z</dcterms:modified>
</cp:coreProperties>
</file>